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DB92D" w14:textId="6E130AA4" w:rsidR="00075788" w:rsidRDefault="00075788" w:rsidP="00075788">
      <w:pPr>
        <w:widowControl w:val="0"/>
        <w:spacing w:before="89" w:after="0" w:line="268" w:lineRule="exact"/>
        <w:ind w:left="720"/>
        <w:outlineLvl w:val="0"/>
        <w:rPr>
          <w:rFonts w:ascii="Arial" w:eastAsia="Calibri" w:hAnsi="Calibri" w:cs="Times New Roman"/>
          <w:b/>
          <w:color w:val="231F20"/>
          <w:sz w:val="24"/>
        </w:rPr>
      </w:pPr>
      <w:bookmarkStart w:id="0" w:name="_GoBack"/>
      <w:bookmarkEnd w:id="0"/>
      <w:r w:rsidRPr="00075788">
        <w:rPr>
          <w:rFonts w:ascii="Arial" w:eastAsia="Arial" w:hAnsi="Arial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F154C1" wp14:editId="5194DEAF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812165" cy="793750"/>
            <wp:effectExtent l="0" t="0" r="698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Times New Roman"/>
          <w:b/>
          <w:bCs/>
          <w:color w:val="231F20"/>
          <w:sz w:val="24"/>
          <w:szCs w:val="24"/>
        </w:rPr>
        <w:t xml:space="preserve">  </w:t>
      </w:r>
    </w:p>
    <w:p w14:paraId="5C9B4CAC" w14:textId="44483532" w:rsidR="00075788" w:rsidRDefault="00075788" w:rsidP="00075788">
      <w:pPr>
        <w:widowControl w:val="0"/>
        <w:spacing w:before="89" w:after="0" w:line="268" w:lineRule="exact"/>
        <w:ind w:left="720"/>
        <w:outlineLvl w:val="0"/>
        <w:rPr>
          <w:rFonts w:ascii="Arial" w:eastAsia="Arial" w:hAnsi="Arial" w:cs="Times New Roman"/>
          <w:b/>
          <w:bCs/>
          <w:color w:val="231F20"/>
          <w:sz w:val="24"/>
          <w:szCs w:val="24"/>
        </w:rPr>
      </w:pPr>
      <w:r>
        <w:rPr>
          <w:rFonts w:ascii="Arial" w:eastAsia="Arial" w:hAnsi="Arial" w:cs="Times New Roman"/>
          <w:b/>
          <w:bCs/>
          <w:color w:val="231F20"/>
          <w:sz w:val="24"/>
          <w:szCs w:val="24"/>
        </w:rPr>
        <w:t xml:space="preserve">  </w:t>
      </w:r>
      <w:r>
        <w:rPr>
          <w:rFonts w:ascii="Arial" w:eastAsia="Arial" w:hAnsi="Arial" w:cs="Times New Roman"/>
          <w:b/>
          <w:bCs/>
          <w:color w:val="231F20"/>
          <w:sz w:val="24"/>
          <w:szCs w:val="24"/>
        </w:rPr>
        <w:tab/>
        <w:t>MINNEAPOLIS HIGHRISE REPRESENTATIVE COUNCIL</w:t>
      </w:r>
    </w:p>
    <w:p w14:paraId="250DA875" w14:textId="647A0B7E" w:rsidR="00075788" w:rsidRPr="00075788" w:rsidRDefault="00075788" w:rsidP="00075788">
      <w:pPr>
        <w:widowControl w:val="0"/>
        <w:spacing w:before="89" w:after="0" w:line="268" w:lineRule="exact"/>
        <w:ind w:left="720" w:firstLine="720"/>
        <w:outlineLvl w:val="0"/>
        <w:rPr>
          <w:rFonts w:ascii="Arial" w:eastAsia="Arial" w:hAnsi="Arial" w:cs="Times New Roman"/>
          <w:sz w:val="20"/>
          <w:szCs w:val="20"/>
        </w:rPr>
      </w:pPr>
      <w:r w:rsidRPr="00075788">
        <w:rPr>
          <w:rFonts w:ascii="Arial" w:eastAsia="Arial" w:hAnsi="Arial" w:cs="Times New Roman"/>
          <w:color w:val="231F20"/>
          <w:sz w:val="20"/>
          <w:szCs w:val="20"/>
        </w:rPr>
        <w:t>1015</w:t>
      </w:r>
      <w:r w:rsidRPr="00075788">
        <w:rPr>
          <w:rFonts w:ascii="Arial" w:eastAsia="Arial" w:hAnsi="Arial" w:cs="Times New Roman"/>
          <w:color w:val="231F20"/>
          <w:spacing w:val="-4"/>
          <w:sz w:val="20"/>
          <w:szCs w:val="20"/>
        </w:rPr>
        <w:t xml:space="preserve"> </w:t>
      </w:r>
      <w:r w:rsidRPr="00075788">
        <w:rPr>
          <w:rFonts w:ascii="Arial" w:eastAsia="Arial" w:hAnsi="Arial" w:cs="Times New Roman"/>
          <w:color w:val="231F20"/>
          <w:sz w:val="20"/>
          <w:szCs w:val="20"/>
        </w:rPr>
        <w:t>Fourth</w:t>
      </w:r>
      <w:r w:rsidRPr="00075788">
        <w:rPr>
          <w:rFonts w:ascii="Arial" w:eastAsia="Arial" w:hAnsi="Arial" w:cs="Times New Roman"/>
          <w:color w:val="231F20"/>
          <w:spacing w:val="-4"/>
          <w:sz w:val="20"/>
          <w:szCs w:val="20"/>
        </w:rPr>
        <w:t xml:space="preserve"> </w:t>
      </w:r>
      <w:r w:rsidRPr="00075788">
        <w:rPr>
          <w:rFonts w:ascii="Arial" w:eastAsia="Arial" w:hAnsi="Arial" w:cs="Times New Roman"/>
          <w:color w:val="231F20"/>
          <w:spacing w:val="-2"/>
          <w:sz w:val="20"/>
          <w:szCs w:val="20"/>
        </w:rPr>
        <w:t>A</w:t>
      </w:r>
      <w:r w:rsidRPr="00075788">
        <w:rPr>
          <w:rFonts w:ascii="Arial" w:eastAsia="Arial" w:hAnsi="Arial" w:cs="Times New Roman"/>
          <w:color w:val="231F20"/>
          <w:spacing w:val="-1"/>
          <w:sz w:val="20"/>
          <w:szCs w:val="20"/>
        </w:rPr>
        <w:t>venue</w:t>
      </w:r>
      <w:r w:rsidRPr="00075788">
        <w:rPr>
          <w:rFonts w:ascii="Arial" w:eastAsia="Arial" w:hAnsi="Arial" w:cs="Times New Roman"/>
          <w:color w:val="231F20"/>
          <w:spacing w:val="-4"/>
          <w:sz w:val="20"/>
          <w:szCs w:val="20"/>
        </w:rPr>
        <w:t xml:space="preserve"> </w:t>
      </w:r>
      <w:r w:rsidRPr="00075788">
        <w:rPr>
          <w:rFonts w:ascii="Arial" w:eastAsia="Arial" w:hAnsi="Arial" w:cs="Times New Roman"/>
          <w:color w:val="231F20"/>
          <w:sz w:val="20"/>
          <w:szCs w:val="20"/>
        </w:rPr>
        <w:t>N.,</w:t>
      </w:r>
      <w:r w:rsidRPr="00075788">
        <w:rPr>
          <w:rFonts w:ascii="Arial" w:eastAsia="Arial" w:hAnsi="Arial" w:cs="Times New Roman"/>
          <w:color w:val="231F20"/>
          <w:spacing w:val="-3"/>
          <w:sz w:val="20"/>
          <w:szCs w:val="20"/>
        </w:rPr>
        <w:t xml:space="preserve"> </w:t>
      </w:r>
      <w:r w:rsidRPr="00075788">
        <w:rPr>
          <w:rFonts w:ascii="Arial" w:eastAsia="Arial" w:hAnsi="Arial" w:cs="Times New Roman"/>
          <w:color w:val="231F20"/>
          <w:sz w:val="20"/>
          <w:szCs w:val="20"/>
        </w:rPr>
        <w:t>Suite</w:t>
      </w:r>
      <w:r w:rsidRPr="00075788">
        <w:rPr>
          <w:rFonts w:ascii="Arial" w:eastAsia="Arial" w:hAnsi="Arial" w:cs="Times New Roman"/>
          <w:color w:val="231F20"/>
          <w:spacing w:val="-4"/>
          <w:sz w:val="20"/>
          <w:szCs w:val="20"/>
        </w:rPr>
        <w:t xml:space="preserve"> </w:t>
      </w:r>
      <w:r w:rsidRPr="00075788">
        <w:rPr>
          <w:rFonts w:ascii="Arial" w:eastAsia="Arial" w:hAnsi="Arial" w:cs="Times New Roman"/>
          <w:color w:val="231F20"/>
          <w:sz w:val="20"/>
          <w:szCs w:val="20"/>
        </w:rPr>
        <w:t>203</w:t>
      </w:r>
      <w:r>
        <w:rPr>
          <w:rFonts w:ascii="Arial" w:eastAsia="Arial" w:hAnsi="Arial" w:cs="Times New Roman"/>
          <w:color w:val="231F20"/>
          <w:sz w:val="20"/>
          <w:szCs w:val="20"/>
        </w:rPr>
        <w:t xml:space="preserve">, </w:t>
      </w:r>
      <w:r w:rsidRPr="00075788">
        <w:rPr>
          <w:rFonts w:ascii="Arial" w:eastAsia="Arial" w:hAnsi="Arial" w:cs="Times New Roman"/>
          <w:color w:val="231F20"/>
          <w:sz w:val="20"/>
          <w:szCs w:val="20"/>
        </w:rPr>
        <w:t>Minneapolis,</w:t>
      </w:r>
      <w:r w:rsidRPr="00075788">
        <w:rPr>
          <w:rFonts w:ascii="Arial" w:eastAsia="Arial" w:hAnsi="Arial" w:cs="Times New Roman"/>
          <w:color w:val="231F20"/>
          <w:spacing w:val="4"/>
          <w:sz w:val="20"/>
          <w:szCs w:val="20"/>
        </w:rPr>
        <w:t xml:space="preserve"> </w:t>
      </w:r>
      <w:r w:rsidRPr="00075788">
        <w:rPr>
          <w:rFonts w:ascii="Arial" w:eastAsia="Arial" w:hAnsi="Arial" w:cs="Times New Roman"/>
          <w:color w:val="231F20"/>
          <w:sz w:val="20"/>
          <w:szCs w:val="20"/>
        </w:rPr>
        <w:t>Minnesota</w:t>
      </w:r>
      <w:r w:rsidRPr="00075788">
        <w:rPr>
          <w:rFonts w:ascii="Arial" w:eastAsia="Arial" w:hAnsi="Arial" w:cs="Times New Roman"/>
          <w:color w:val="231F20"/>
          <w:spacing w:val="5"/>
          <w:sz w:val="20"/>
          <w:szCs w:val="20"/>
        </w:rPr>
        <w:t xml:space="preserve"> </w:t>
      </w:r>
      <w:r w:rsidRPr="00075788">
        <w:rPr>
          <w:rFonts w:ascii="Arial" w:eastAsia="Arial" w:hAnsi="Arial" w:cs="Times New Roman"/>
          <w:color w:val="231F20"/>
          <w:sz w:val="20"/>
          <w:szCs w:val="20"/>
        </w:rPr>
        <w:t>55405</w:t>
      </w:r>
    </w:p>
    <w:p w14:paraId="39AB0B28" w14:textId="77777777" w:rsidR="00185963" w:rsidRDefault="00185963">
      <w:pPr>
        <w:rPr>
          <w:sz w:val="24"/>
          <w:szCs w:val="24"/>
        </w:rPr>
      </w:pPr>
    </w:p>
    <w:p w14:paraId="3C181C83" w14:textId="37B071FC" w:rsidR="00185963" w:rsidRPr="00075788" w:rsidRDefault="00185963">
      <w:pPr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 xml:space="preserve">June </w:t>
      </w:r>
      <w:r w:rsidR="00B51BC1">
        <w:rPr>
          <w:rFonts w:ascii="Gadugi" w:hAnsi="Gadugi"/>
          <w:sz w:val="24"/>
          <w:szCs w:val="24"/>
        </w:rPr>
        <w:t>8</w:t>
      </w:r>
      <w:r w:rsidRPr="00075788">
        <w:rPr>
          <w:rFonts w:ascii="Gadugi" w:hAnsi="Gadugi"/>
          <w:sz w:val="24"/>
          <w:szCs w:val="24"/>
        </w:rPr>
        <w:t>, 2016</w:t>
      </w:r>
    </w:p>
    <w:p w14:paraId="37BE8BB0" w14:textId="77777777" w:rsidR="00185963" w:rsidRPr="00075788" w:rsidRDefault="00185963" w:rsidP="00185963">
      <w:pPr>
        <w:spacing w:after="0" w:line="240" w:lineRule="auto"/>
        <w:ind w:right="90"/>
        <w:rPr>
          <w:rFonts w:ascii="Gadugi" w:hAnsi="Gadugi"/>
          <w:sz w:val="24"/>
          <w:szCs w:val="24"/>
        </w:rPr>
      </w:pPr>
    </w:p>
    <w:p w14:paraId="24C36F72" w14:textId="2401B974" w:rsidR="00373A47" w:rsidRDefault="00373A47" w:rsidP="00185963">
      <w:pPr>
        <w:spacing w:after="0" w:line="240" w:lineRule="auto"/>
        <w:ind w:right="90"/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>F. Clayton Tyler</w:t>
      </w:r>
    </w:p>
    <w:p w14:paraId="79315C2E" w14:textId="70B03C74" w:rsidR="0054456F" w:rsidRPr="00075788" w:rsidRDefault="0054456F" w:rsidP="00185963">
      <w:pPr>
        <w:spacing w:after="0" w:line="240" w:lineRule="auto"/>
        <w:ind w:right="90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Chair, MPHA Board of Commissioner</w:t>
      </w:r>
      <w:r w:rsidR="00380081">
        <w:rPr>
          <w:rFonts w:ascii="Gadugi" w:hAnsi="Gadugi"/>
          <w:sz w:val="24"/>
          <w:szCs w:val="24"/>
        </w:rPr>
        <w:t>s</w:t>
      </w:r>
    </w:p>
    <w:p w14:paraId="78973909" w14:textId="77777777" w:rsidR="00373A47" w:rsidRPr="00075788" w:rsidRDefault="00373A47" w:rsidP="00185963">
      <w:pPr>
        <w:spacing w:after="0" w:line="240" w:lineRule="auto"/>
        <w:ind w:right="90"/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>331 Second Avenue South</w:t>
      </w:r>
    </w:p>
    <w:p w14:paraId="1550AC9B" w14:textId="5C73F931" w:rsidR="00373A47" w:rsidRPr="00075788" w:rsidRDefault="00373A47" w:rsidP="00373A47">
      <w:pPr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>Minneapolis, MN 55401-2240</w:t>
      </w:r>
    </w:p>
    <w:p w14:paraId="3EE481C0" w14:textId="71345ACC" w:rsidR="00533002" w:rsidRPr="00075788" w:rsidRDefault="004576B0">
      <w:pPr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 xml:space="preserve">Dear </w:t>
      </w:r>
      <w:r w:rsidR="00185963" w:rsidRPr="00075788">
        <w:rPr>
          <w:rFonts w:ascii="Gadugi" w:hAnsi="Gadugi"/>
          <w:sz w:val="24"/>
          <w:szCs w:val="24"/>
        </w:rPr>
        <w:t>Commissioner Tyler:</w:t>
      </w:r>
    </w:p>
    <w:p w14:paraId="792F4DC9" w14:textId="1896A421" w:rsidR="004576B0" w:rsidRPr="00075788" w:rsidRDefault="004576B0">
      <w:pPr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>Many resident leaders have greeted the resignation of MPHA Executive</w:t>
      </w:r>
      <w:r w:rsidR="0054456F">
        <w:rPr>
          <w:rFonts w:ascii="Gadugi" w:hAnsi="Gadugi"/>
          <w:sz w:val="24"/>
          <w:szCs w:val="24"/>
        </w:rPr>
        <w:t xml:space="preserve"> Director</w:t>
      </w:r>
      <w:r w:rsidRPr="00075788">
        <w:rPr>
          <w:rFonts w:ascii="Gadugi" w:hAnsi="Gadugi"/>
          <w:sz w:val="24"/>
          <w:szCs w:val="24"/>
        </w:rPr>
        <w:t xml:space="preserve">/CEO Cora McCorvey with sadness and also with </w:t>
      </w:r>
      <w:r w:rsidR="0054456F">
        <w:rPr>
          <w:rFonts w:ascii="Gadugi" w:hAnsi="Gadugi"/>
          <w:sz w:val="24"/>
          <w:szCs w:val="24"/>
        </w:rPr>
        <w:t xml:space="preserve">a </w:t>
      </w:r>
      <w:r w:rsidRPr="00075788">
        <w:rPr>
          <w:rFonts w:ascii="Gadugi" w:hAnsi="Gadugi"/>
          <w:sz w:val="24"/>
          <w:szCs w:val="24"/>
        </w:rPr>
        <w:t>sense of deep appreciation for her partnership with residents over the years.  While residents and MPHA have not agreed on all policy matters – in fact</w:t>
      </w:r>
      <w:r w:rsidR="00075788">
        <w:rPr>
          <w:rFonts w:ascii="Gadugi" w:hAnsi="Gadugi"/>
          <w:sz w:val="24"/>
          <w:szCs w:val="24"/>
        </w:rPr>
        <w:t>,</w:t>
      </w:r>
      <w:r w:rsidRPr="00075788">
        <w:rPr>
          <w:rFonts w:ascii="Gadugi" w:hAnsi="Gadugi"/>
          <w:sz w:val="24"/>
          <w:szCs w:val="24"/>
        </w:rPr>
        <w:t xml:space="preserve"> this has allowed for a healthy </w:t>
      </w:r>
      <w:r w:rsidR="004A7CA1" w:rsidRPr="00075788">
        <w:rPr>
          <w:rFonts w:ascii="Gadugi" w:hAnsi="Gadugi"/>
          <w:sz w:val="24"/>
          <w:szCs w:val="24"/>
        </w:rPr>
        <w:t xml:space="preserve">and productive </w:t>
      </w:r>
      <w:r w:rsidRPr="00075788">
        <w:rPr>
          <w:rFonts w:ascii="Gadugi" w:hAnsi="Gadugi"/>
          <w:sz w:val="24"/>
          <w:szCs w:val="24"/>
        </w:rPr>
        <w:t>give and take and exchange of ideas between MPHA and resident</w:t>
      </w:r>
      <w:r w:rsidR="004A7CA1" w:rsidRPr="00075788">
        <w:rPr>
          <w:rFonts w:ascii="Gadugi" w:hAnsi="Gadugi"/>
          <w:sz w:val="24"/>
          <w:szCs w:val="24"/>
        </w:rPr>
        <w:t>s</w:t>
      </w:r>
      <w:r w:rsidRPr="00075788">
        <w:rPr>
          <w:rFonts w:ascii="Gadugi" w:hAnsi="Gadugi"/>
          <w:sz w:val="24"/>
          <w:szCs w:val="24"/>
        </w:rPr>
        <w:t xml:space="preserve"> – Cora has consistently listened to resident concerns, attended numerous resident</w:t>
      </w:r>
      <w:r w:rsidR="004A7CA1" w:rsidRPr="00075788">
        <w:rPr>
          <w:rFonts w:ascii="Gadugi" w:hAnsi="Gadugi"/>
          <w:sz w:val="24"/>
          <w:szCs w:val="24"/>
        </w:rPr>
        <w:t xml:space="preserve"> meetings and </w:t>
      </w:r>
      <w:r w:rsidRPr="00075788">
        <w:rPr>
          <w:rFonts w:ascii="Gadugi" w:hAnsi="Gadugi"/>
          <w:sz w:val="24"/>
          <w:szCs w:val="24"/>
        </w:rPr>
        <w:t xml:space="preserve">events, and has shown </w:t>
      </w:r>
      <w:r w:rsidR="00541F47">
        <w:rPr>
          <w:rFonts w:ascii="Gadugi" w:hAnsi="Gadugi"/>
          <w:sz w:val="24"/>
          <w:szCs w:val="24"/>
        </w:rPr>
        <w:t>a true</w:t>
      </w:r>
      <w:r w:rsidR="004A7CA1" w:rsidRPr="00075788">
        <w:rPr>
          <w:rFonts w:ascii="Gadugi" w:hAnsi="Gadugi"/>
          <w:sz w:val="24"/>
          <w:szCs w:val="24"/>
        </w:rPr>
        <w:t xml:space="preserve"> </w:t>
      </w:r>
      <w:r w:rsidRPr="00075788">
        <w:rPr>
          <w:rFonts w:ascii="Gadugi" w:hAnsi="Gadugi"/>
          <w:sz w:val="24"/>
          <w:szCs w:val="24"/>
        </w:rPr>
        <w:t xml:space="preserve">concern and commitment to </w:t>
      </w:r>
      <w:r w:rsidR="004A7CA1" w:rsidRPr="00075788">
        <w:rPr>
          <w:rFonts w:ascii="Gadugi" w:hAnsi="Gadugi"/>
          <w:sz w:val="24"/>
          <w:szCs w:val="24"/>
        </w:rPr>
        <w:t xml:space="preserve">serving </w:t>
      </w:r>
      <w:r w:rsidRPr="00075788">
        <w:rPr>
          <w:rFonts w:ascii="Gadugi" w:hAnsi="Gadugi"/>
          <w:sz w:val="24"/>
          <w:szCs w:val="24"/>
        </w:rPr>
        <w:t>public housing residents.</w:t>
      </w:r>
    </w:p>
    <w:p w14:paraId="26C80B56" w14:textId="42409370" w:rsidR="00EE1298" w:rsidRPr="00075788" w:rsidRDefault="004A7CA1">
      <w:pPr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 xml:space="preserve">It is so important </w:t>
      </w:r>
      <w:r w:rsidR="00234EA0" w:rsidRPr="00075788">
        <w:rPr>
          <w:rFonts w:ascii="Gadugi" w:hAnsi="Gadugi"/>
          <w:sz w:val="24"/>
          <w:szCs w:val="24"/>
        </w:rPr>
        <w:t xml:space="preserve">to us </w:t>
      </w:r>
      <w:r w:rsidRPr="00075788">
        <w:rPr>
          <w:rFonts w:ascii="Gadugi" w:hAnsi="Gadugi"/>
          <w:sz w:val="24"/>
          <w:szCs w:val="24"/>
        </w:rPr>
        <w:t>that this type of relationship between resident</w:t>
      </w:r>
      <w:r w:rsidR="00965D62" w:rsidRPr="00075788">
        <w:rPr>
          <w:rFonts w:ascii="Gadugi" w:hAnsi="Gadugi"/>
          <w:sz w:val="24"/>
          <w:szCs w:val="24"/>
        </w:rPr>
        <w:t>s</w:t>
      </w:r>
      <w:r w:rsidRPr="00075788">
        <w:rPr>
          <w:rFonts w:ascii="Gadugi" w:hAnsi="Gadugi"/>
          <w:sz w:val="24"/>
          <w:szCs w:val="24"/>
        </w:rPr>
        <w:t xml:space="preserve"> and MPHA continue</w:t>
      </w:r>
      <w:r w:rsidR="0054456F">
        <w:rPr>
          <w:rFonts w:ascii="Gadugi" w:hAnsi="Gadugi"/>
          <w:sz w:val="24"/>
          <w:szCs w:val="24"/>
        </w:rPr>
        <w:t>s</w:t>
      </w:r>
      <w:r w:rsidR="00EE1298" w:rsidRPr="00075788">
        <w:rPr>
          <w:rFonts w:ascii="Gadugi" w:hAnsi="Gadugi"/>
          <w:sz w:val="24"/>
          <w:szCs w:val="24"/>
        </w:rPr>
        <w:t xml:space="preserve">; </w:t>
      </w:r>
      <w:r w:rsidR="00234EA0" w:rsidRPr="00075788">
        <w:rPr>
          <w:rFonts w:ascii="Gadugi" w:hAnsi="Gadugi"/>
          <w:sz w:val="24"/>
          <w:szCs w:val="24"/>
        </w:rPr>
        <w:t xml:space="preserve">it is certainly of mutual benefit.  </w:t>
      </w:r>
      <w:r w:rsidR="004576B0" w:rsidRPr="00075788">
        <w:rPr>
          <w:rFonts w:ascii="Gadugi" w:hAnsi="Gadugi"/>
          <w:sz w:val="24"/>
          <w:szCs w:val="24"/>
        </w:rPr>
        <w:t xml:space="preserve">At </w:t>
      </w:r>
      <w:r w:rsidRPr="00075788">
        <w:rPr>
          <w:rFonts w:ascii="Gadugi" w:hAnsi="Gadugi"/>
          <w:sz w:val="24"/>
          <w:szCs w:val="24"/>
        </w:rPr>
        <w:t xml:space="preserve">our May </w:t>
      </w:r>
      <w:r w:rsidR="0054456F">
        <w:rPr>
          <w:rFonts w:ascii="Gadugi" w:hAnsi="Gadugi"/>
          <w:sz w:val="24"/>
          <w:szCs w:val="24"/>
        </w:rPr>
        <w:t>19 board meeting</w:t>
      </w:r>
      <w:r w:rsidRPr="00075788">
        <w:rPr>
          <w:rFonts w:ascii="Gadugi" w:hAnsi="Gadugi"/>
          <w:sz w:val="24"/>
          <w:szCs w:val="24"/>
        </w:rPr>
        <w:t>, we passed a motion to convey to the MPHA Board of Commissioners that resident leaders</w:t>
      </w:r>
      <w:r w:rsidR="00380081">
        <w:rPr>
          <w:rFonts w:ascii="Gadugi" w:hAnsi="Gadugi"/>
          <w:sz w:val="24"/>
          <w:szCs w:val="24"/>
        </w:rPr>
        <w:t xml:space="preserve"> would like to be deeply</w:t>
      </w:r>
      <w:r w:rsidRPr="00075788">
        <w:rPr>
          <w:rFonts w:ascii="Gadugi" w:hAnsi="Gadugi"/>
          <w:sz w:val="24"/>
          <w:szCs w:val="24"/>
        </w:rPr>
        <w:t xml:space="preserve"> involved in the selection of a new MPHA executive director.  </w:t>
      </w:r>
      <w:r w:rsidR="00EE1298" w:rsidRPr="00075788">
        <w:rPr>
          <w:rFonts w:ascii="Gadugi" w:hAnsi="Gadugi"/>
          <w:sz w:val="24"/>
          <w:szCs w:val="24"/>
        </w:rPr>
        <w:t>At our board and Area meetings residents have already been identifying the qualities they think are important in an executive director position.</w:t>
      </w:r>
    </w:p>
    <w:p w14:paraId="6367AAB2" w14:textId="76AAEA2C" w:rsidR="004576B0" w:rsidRPr="00075788" w:rsidRDefault="00234EA0">
      <w:pPr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 xml:space="preserve">We would like to discuss with you what this involvement </w:t>
      </w:r>
      <w:r w:rsidR="00EE1298" w:rsidRPr="00075788">
        <w:rPr>
          <w:rFonts w:ascii="Gadugi" w:hAnsi="Gadugi"/>
          <w:sz w:val="24"/>
          <w:szCs w:val="24"/>
        </w:rPr>
        <w:t>might include.  Two ideas we’ve already discussed</w:t>
      </w:r>
      <w:r w:rsidR="00EA1E8E">
        <w:rPr>
          <w:rFonts w:ascii="Gadugi" w:hAnsi="Gadugi"/>
          <w:sz w:val="24"/>
          <w:szCs w:val="24"/>
        </w:rPr>
        <w:t xml:space="preserve"> among ourselves</w:t>
      </w:r>
      <w:r w:rsidR="00EE1298" w:rsidRPr="00075788">
        <w:rPr>
          <w:rFonts w:ascii="Gadugi" w:hAnsi="Gadugi"/>
          <w:sz w:val="24"/>
          <w:szCs w:val="24"/>
        </w:rPr>
        <w:t xml:space="preserve"> include having</w:t>
      </w:r>
      <w:r w:rsidR="00196427" w:rsidRPr="00075788">
        <w:rPr>
          <w:rFonts w:ascii="Gadugi" w:hAnsi="Gadugi"/>
          <w:sz w:val="24"/>
          <w:szCs w:val="24"/>
        </w:rPr>
        <w:t xml:space="preserve"> MHRC e</w:t>
      </w:r>
      <w:r w:rsidR="00EE1298" w:rsidRPr="00075788">
        <w:rPr>
          <w:rFonts w:ascii="Gadugi" w:hAnsi="Gadugi"/>
          <w:sz w:val="24"/>
          <w:szCs w:val="24"/>
        </w:rPr>
        <w:t>xecutive leadership</w:t>
      </w:r>
      <w:r w:rsidR="00196427" w:rsidRPr="00075788">
        <w:rPr>
          <w:rFonts w:ascii="Gadugi" w:hAnsi="Gadugi"/>
          <w:sz w:val="24"/>
          <w:szCs w:val="24"/>
        </w:rPr>
        <w:t xml:space="preserve">, in addition to the </w:t>
      </w:r>
      <w:proofErr w:type="spellStart"/>
      <w:r w:rsidR="00196427" w:rsidRPr="00075788">
        <w:rPr>
          <w:rFonts w:ascii="Gadugi" w:hAnsi="Gadugi"/>
          <w:sz w:val="24"/>
          <w:szCs w:val="24"/>
        </w:rPr>
        <w:t>highrise</w:t>
      </w:r>
      <w:proofErr w:type="spellEnd"/>
      <w:r w:rsidR="00196427" w:rsidRPr="00075788">
        <w:rPr>
          <w:rFonts w:ascii="Gadugi" w:hAnsi="Gadugi"/>
          <w:sz w:val="24"/>
          <w:szCs w:val="24"/>
        </w:rPr>
        <w:t xml:space="preserve"> resident commissioner,</w:t>
      </w:r>
      <w:r w:rsidR="00EE1298" w:rsidRPr="00075788">
        <w:rPr>
          <w:rFonts w:ascii="Gadugi" w:hAnsi="Gadugi"/>
          <w:sz w:val="24"/>
          <w:szCs w:val="24"/>
        </w:rPr>
        <w:t xml:space="preserve"> being involved in the application review and interview process and having potential candidates speak and answer questions at an MHRC Board meeting where there </w:t>
      </w:r>
      <w:proofErr w:type="gramStart"/>
      <w:r w:rsidR="00EE1298" w:rsidRPr="00075788">
        <w:rPr>
          <w:rFonts w:ascii="Gadugi" w:hAnsi="Gadugi"/>
          <w:sz w:val="24"/>
          <w:szCs w:val="24"/>
        </w:rPr>
        <w:t>is</w:t>
      </w:r>
      <w:proofErr w:type="gramEnd"/>
      <w:r w:rsidR="00EE1298" w:rsidRPr="00075788">
        <w:rPr>
          <w:rFonts w:ascii="Gadugi" w:hAnsi="Gadugi"/>
          <w:sz w:val="24"/>
          <w:szCs w:val="24"/>
        </w:rPr>
        <w:t xml:space="preserve"> typically 50 – 60 resident representatives from nearly all </w:t>
      </w:r>
      <w:r w:rsidR="005924AE">
        <w:rPr>
          <w:rFonts w:ascii="Gadugi" w:hAnsi="Gadugi"/>
          <w:sz w:val="24"/>
          <w:szCs w:val="24"/>
        </w:rPr>
        <w:t xml:space="preserve">42 </w:t>
      </w:r>
      <w:proofErr w:type="spellStart"/>
      <w:r w:rsidR="00EE1298" w:rsidRPr="00075788">
        <w:rPr>
          <w:rFonts w:ascii="Gadugi" w:hAnsi="Gadugi"/>
          <w:sz w:val="24"/>
          <w:szCs w:val="24"/>
        </w:rPr>
        <w:t>highrises</w:t>
      </w:r>
      <w:proofErr w:type="spellEnd"/>
      <w:r w:rsidR="00EE1298" w:rsidRPr="00075788">
        <w:rPr>
          <w:rFonts w:ascii="Gadugi" w:hAnsi="Gadugi"/>
          <w:sz w:val="24"/>
          <w:szCs w:val="24"/>
        </w:rPr>
        <w:t xml:space="preserve"> in attendance.  </w:t>
      </w:r>
    </w:p>
    <w:p w14:paraId="1B0C614F" w14:textId="02A3C9B3" w:rsidR="00EE1298" w:rsidRPr="00075788" w:rsidRDefault="00EE1298">
      <w:pPr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 xml:space="preserve">We look forward to discussing </w:t>
      </w:r>
      <w:r w:rsidR="00196427" w:rsidRPr="00075788">
        <w:rPr>
          <w:rFonts w:ascii="Gadugi" w:hAnsi="Gadugi"/>
          <w:sz w:val="24"/>
          <w:szCs w:val="24"/>
        </w:rPr>
        <w:t xml:space="preserve">with you </w:t>
      </w:r>
      <w:r w:rsidRPr="00075788">
        <w:rPr>
          <w:rFonts w:ascii="Gadugi" w:hAnsi="Gadugi"/>
          <w:sz w:val="24"/>
          <w:szCs w:val="24"/>
        </w:rPr>
        <w:t>how a</w:t>
      </w:r>
      <w:r w:rsidR="00965D62" w:rsidRPr="00075788">
        <w:rPr>
          <w:rFonts w:ascii="Gadugi" w:hAnsi="Gadugi"/>
          <w:sz w:val="24"/>
          <w:szCs w:val="24"/>
        </w:rPr>
        <w:t>n</w:t>
      </w:r>
      <w:r w:rsidRPr="00075788">
        <w:rPr>
          <w:rFonts w:ascii="Gadugi" w:hAnsi="Gadugi"/>
          <w:sz w:val="24"/>
          <w:szCs w:val="24"/>
        </w:rPr>
        <w:t xml:space="preserve"> MPHA and resident partnership in </w:t>
      </w:r>
      <w:r w:rsidR="00965D62" w:rsidRPr="00075788">
        <w:rPr>
          <w:rFonts w:ascii="Gadugi" w:hAnsi="Gadugi"/>
          <w:sz w:val="24"/>
          <w:szCs w:val="24"/>
        </w:rPr>
        <w:t xml:space="preserve">the selection of a new MPHA executive director might work and help MPHA </w:t>
      </w:r>
      <w:r w:rsidR="00EA1E8E">
        <w:rPr>
          <w:rFonts w:ascii="Gadugi" w:hAnsi="Gadugi"/>
          <w:sz w:val="24"/>
          <w:szCs w:val="24"/>
        </w:rPr>
        <w:t xml:space="preserve">in </w:t>
      </w:r>
      <w:r w:rsidR="00965D62" w:rsidRPr="00075788">
        <w:rPr>
          <w:rFonts w:ascii="Gadugi" w:hAnsi="Gadugi"/>
          <w:sz w:val="24"/>
          <w:szCs w:val="24"/>
        </w:rPr>
        <w:t xml:space="preserve">making the best possible choice in a new leader.  </w:t>
      </w:r>
    </w:p>
    <w:p w14:paraId="44FDC3BA" w14:textId="77777777" w:rsidR="00196427" w:rsidRPr="00075788" w:rsidRDefault="00196427">
      <w:pPr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lastRenderedPageBreak/>
        <w:t xml:space="preserve">Please contact our MHRC Executive Director Barb Harris to arrange for this discussion or with any questions you might have.  She can be reached at (612) 342-1333 or </w:t>
      </w:r>
      <w:hyperlink r:id="rId5" w:history="1">
        <w:r w:rsidRPr="00075788">
          <w:rPr>
            <w:rStyle w:val="Hyperlink"/>
            <w:rFonts w:ascii="Gadugi" w:hAnsi="Gadugi"/>
            <w:sz w:val="24"/>
            <w:szCs w:val="24"/>
          </w:rPr>
          <w:t>bharrris@mplshighrise.org</w:t>
        </w:r>
      </w:hyperlink>
      <w:r w:rsidRPr="00075788">
        <w:rPr>
          <w:rFonts w:ascii="Gadugi" w:hAnsi="Gadugi"/>
          <w:sz w:val="24"/>
          <w:szCs w:val="24"/>
        </w:rPr>
        <w:t>.</w:t>
      </w:r>
    </w:p>
    <w:p w14:paraId="564AA0F8" w14:textId="65486378" w:rsidR="00196427" w:rsidRPr="00075788" w:rsidRDefault="00075788">
      <w:pPr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>Thank you</w:t>
      </w:r>
      <w:r w:rsidR="00196427" w:rsidRPr="00075788">
        <w:rPr>
          <w:rFonts w:ascii="Gadugi" w:hAnsi="Gadugi"/>
          <w:sz w:val="24"/>
          <w:szCs w:val="24"/>
        </w:rPr>
        <w:t xml:space="preserve"> very much.</w:t>
      </w:r>
    </w:p>
    <w:p w14:paraId="080E213D" w14:textId="77777777" w:rsidR="00196427" w:rsidRPr="00075788" w:rsidRDefault="00196427">
      <w:pPr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>Sincerely,</w:t>
      </w:r>
    </w:p>
    <w:p w14:paraId="211DDE27" w14:textId="77777777" w:rsidR="00196427" w:rsidRPr="00075788" w:rsidRDefault="00196427">
      <w:pPr>
        <w:rPr>
          <w:rFonts w:ascii="Gadugi" w:hAnsi="Gadugi"/>
          <w:sz w:val="24"/>
          <w:szCs w:val="24"/>
        </w:rPr>
      </w:pPr>
    </w:p>
    <w:p w14:paraId="11E05277" w14:textId="77777777" w:rsidR="00196427" w:rsidRPr="00075788" w:rsidRDefault="00196427" w:rsidP="00196427">
      <w:pPr>
        <w:spacing w:after="0"/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>Mary McGovern, President</w:t>
      </w:r>
    </w:p>
    <w:p w14:paraId="65C85FF7" w14:textId="77777777" w:rsidR="00196427" w:rsidRPr="00075788" w:rsidRDefault="00196427" w:rsidP="00196427">
      <w:pPr>
        <w:spacing w:after="0"/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 xml:space="preserve">The Minneapolis </w:t>
      </w:r>
      <w:proofErr w:type="spellStart"/>
      <w:r w:rsidRPr="00075788">
        <w:rPr>
          <w:rFonts w:ascii="Gadugi" w:hAnsi="Gadugi"/>
          <w:sz w:val="24"/>
          <w:szCs w:val="24"/>
        </w:rPr>
        <w:t>Highrise</w:t>
      </w:r>
      <w:proofErr w:type="spellEnd"/>
      <w:r w:rsidRPr="00075788">
        <w:rPr>
          <w:rFonts w:ascii="Gadugi" w:hAnsi="Gadugi"/>
          <w:sz w:val="24"/>
          <w:szCs w:val="24"/>
        </w:rPr>
        <w:t xml:space="preserve"> Representative Council</w:t>
      </w:r>
    </w:p>
    <w:p w14:paraId="53168489" w14:textId="77777777" w:rsidR="00196427" w:rsidRPr="00075788" w:rsidRDefault="00196427" w:rsidP="00196427">
      <w:pPr>
        <w:spacing w:after="0"/>
        <w:rPr>
          <w:rFonts w:ascii="Gadugi" w:hAnsi="Gadugi"/>
          <w:sz w:val="24"/>
          <w:szCs w:val="24"/>
        </w:rPr>
      </w:pPr>
    </w:p>
    <w:p w14:paraId="21E754A3" w14:textId="77777777" w:rsidR="00196427" w:rsidRPr="00075788" w:rsidRDefault="00196427" w:rsidP="00196427">
      <w:pPr>
        <w:spacing w:after="0"/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>cc:   MPHA Commissioners</w:t>
      </w:r>
    </w:p>
    <w:p w14:paraId="42A6B506" w14:textId="77777777" w:rsidR="00196427" w:rsidRPr="00075788" w:rsidRDefault="00196427" w:rsidP="00196427">
      <w:pPr>
        <w:spacing w:after="0"/>
        <w:rPr>
          <w:rFonts w:ascii="Gadugi" w:hAnsi="Gadugi"/>
          <w:sz w:val="24"/>
          <w:szCs w:val="24"/>
        </w:rPr>
      </w:pPr>
      <w:r w:rsidRPr="00075788">
        <w:rPr>
          <w:rFonts w:ascii="Gadugi" w:hAnsi="Gadugi"/>
          <w:sz w:val="24"/>
          <w:szCs w:val="24"/>
        </w:rPr>
        <w:t xml:space="preserve">        Cora McCorvey</w:t>
      </w:r>
    </w:p>
    <w:sectPr w:rsidR="00196427" w:rsidRPr="0007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B0"/>
    <w:rsid w:val="00075788"/>
    <w:rsid w:val="00185963"/>
    <w:rsid w:val="00196427"/>
    <w:rsid w:val="00234EA0"/>
    <w:rsid w:val="00373A47"/>
    <w:rsid w:val="00380081"/>
    <w:rsid w:val="004576B0"/>
    <w:rsid w:val="004A7CA1"/>
    <w:rsid w:val="00533002"/>
    <w:rsid w:val="00541F47"/>
    <w:rsid w:val="0054456F"/>
    <w:rsid w:val="005924AE"/>
    <w:rsid w:val="00915532"/>
    <w:rsid w:val="00965D62"/>
    <w:rsid w:val="00B51BC1"/>
    <w:rsid w:val="00EA1E8E"/>
    <w:rsid w:val="00E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5DD1"/>
  <w15:chartTrackingRefBased/>
  <w15:docId w15:val="{63F154B6-63B3-43FD-A264-E1945888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4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arrris@mplshighris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Stumme</dc:creator>
  <cp:keywords/>
  <dc:description/>
  <cp:lastModifiedBy>Robin Harris</cp:lastModifiedBy>
  <cp:revision>2</cp:revision>
  <cp:lastPrinted>2016-06-10T19:15:00Z</cp:lastPrinted>
  <dcterms:created xsi:type="dcterms:W3CDTF">2016-08-09T17:21:00Z</dcterms:created>
  <dcterms:modified xsi:type="dcterms:W3CDTF">2016-08-09T17:21:00Z</dcterms:modified>
</cp:coreProperties>
</file>